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0E871C34" w:rsidR="00EF190D" w:rsidRPr="00EF190D" w:rsidRDefault="00EF190D" w:rsidP="004E34F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833651">
        <w:rPr>
          <w:b/>
          <w:bCs/>
        </w:rPr>
        <w:t xml:space="preserve">OFICIAL DE CAMPO </w:t>
      </w:r>
      <w:r w:rsidRPr="00EF190D">
        <w:rPr>
          <w:b/>
          <w:bCs/>
        </w:rPr>
        <w:t>EN LA PROVINCIA DE ZAMORA CHINCHIPE, CANTÓN</w:t>
      </w:r>
      <w:r w:rsidR="0018636D">
        <w:rPr>
          <w:b/>
          <w:bCs/>
        </w:rPr>
        <w:t xml:space="preserve"> </w:t>
      </w:r>
      <w:r w:rsidR="00833651">
        <w:rPr>
          <w:b/>
          <w:bCs/>
        </w:rPr>
        <w:t>YACUAMBI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FUNDACION HUMANA PUEBLO A PUEBLO - ECUADOR, es una organización sin fines de lucro, reconocida legalmente por el Ministerio de Inclusión Económica y Social (MIES), en mayo del 2008, con Resolución Nº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>Movimiento Internacional Humana People to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779F7348" w14:textId="4BCF3A70" w:rsidR="007516AB" w:rsidRDefault="007516AB" w:rsidP="00E93143">
      <w:pPr>
        <w:jc w:val="both"/>
      </w:pPr>
      <w:r>
        <w:t>Seleccionar al personal técnico responsable de diseñar, implementar y supervisar las acciones de capacitación y tecnificación agropecuaria en campo</w:t>
      </w:r>
      <w:r w:rsidR="00E93143">
        <w:t>,</w:t>
      </w:r>
      <w:r>
        <w:t xml:space="preserve"> con las comunidades y familias campesinas beneficiarias directa</w:t>
      </w:r>
      <w:r w:rsidR="00833651">
        <w:t>s</w:t>
      </w:r>
      <w:r w:rsidR="00E93143">
        <w:t>, coordinando cada una de las actividades programadas</w:t>
      </w:r>
      <w:r w:rsidR="00833651">
        <w:t xml:space="preserve"> del proyecto “</w:t>
      </w:r>
      <w:r w:rsidR="00833651" w:rsidRPr="00833651">
        <w:t>Fortalecimiento del sistema comunitario agropecuario para 190 familias con la implementación de clubes de agricultores en el cantón Yacuambi</w:t>
      </w:r>
      <w:r w:rsidR="00833651">
        <w:t>”</w:t>
      </w:r>
    </w:p>
    <w:p w14:paraId="4AB5D160" w14:textId="3C2E3A46" w:rsidR="007516AB" w:rsidRPr="007516AB" w:rsidRDefault="007516AB" w:rsidP="00EF190D">
      <w:pPr>
        <w:jc w:val="both"/>
        <w:rPr>
          <w:b/>
          <w:bCs/>
        </w:rPr>
      </w:pP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27FE23F8" w14:textId="3B699448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>
        <w:rPr>
          <w:color w:val="000000" w:themeColor="text1"/>
        </w:rPr>
        <w:t>Tecnologías Agropecuarias/</w:t>
      </w:r>
      <w:r w:rsidRPr="00E93143">
        <w:rPr>
          <w:color w:val="000000" w:themeColor="text1"/>
        </w:rPr>
        <w:t xml:space="preserve"> Ing. Agropecuaria,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Desarrollo Rural, Gestión de</w:t>
      </w:r>
      <w:r>
        <w:rPr>
          <w:color w:val="000000" w:themeColor="text1"/>
        </w:rPr>
        <w:t xml:space="preserve"> p</w:t>
      </w:r>
      <w:r w:rsidRPr="00E93143">
        <w:rPr>
          <w:color w:val="000000" w:themeColor="text1"/>
        </w:rPr>
        <w:t>royectos productivos o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carreras afines.</w:t>
      </w:r>
    </w:p>
    <w:p w14:paraId="0A14ACAF" w14:textId="331137E5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Al menos </w:t>
      </w:r>
      <w:r>
        <w:rPr>
          <w:color w:val="000000" w:themeColor="text1"/>
        </w:rPr>
        <w:t>1</w:t>
      </w:r>
      <w:r w:rsidRPr="00E93143">
        <w:rPr>
          <w:color w:val="000000" w:themeColor="text1"/>
        </w:rPr>
        <w:t xml:space="preserve"> (tres) años de experiencia probada en coordinación de </w:t>
      </w:r>
      <w:r>
        <w:rPr>
          <w:color w:val="000000" w:themeColor="text1"/>
        </w:rPr>
        <w:t>p</w:t>
      </w:r>
      <w:r w:rsidRPr="00E93143">
        <w:rPr>
          <w:color w:val="000000" w:themeColor="text1"/>
        </w:rPr>
        <w:t>royectos agrícolas</w:t>
      </w:r>
      <w:r>
        <w:rPr>
          <w:color w:val="000000" w:themeColor="text1"/>
        </w:rPr>
        <w:t>.</w:t>
      </w:r>
    </w:p>
    <w:p w14:paraId="42901CC7" w14:textId="3CD7A0C6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Capacidad comprobada para promover procesos de capacitación, implementación de</w:t>
      </w:r>
      <w:r>
        <w:rPr>
          <w:color w:val="000000" w:themeColor="text1"/>
        </w:rPr>
        <w:t xml:space="preserve"> proyectos agropecuarios.</w:t>
      </w:r>
    </w:p>
    <w:p w14:paraId="2DACD343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Experiencia en procesos de vinculación a cadenas locales de comercialización.</w:t>
      </w:r>
    </w:p>
    <w:p w14:paraId="5A318A6E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Alta capacidad para organizar equipos de trabajo en campo y de articulación con los</w:t>
      </w:r>
    </w:p>
    <w:p w14:paraId="399876AD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diferentes actores territoriales (GAD, Universidades, mercados, entre otros).</w:t>
      </w:r>
    </w:p>
    <w:p w14:paraId="290DA716" w14:textId="77777777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Experiencia en la implementación de proyectos financiados por la cooperación</w:t>
      </w:r>
    </w:p>
    <w:p w14:paraId="2B3079CD" w14:textId="0BCFC179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lastRenderedPageBreak/>
        <w:t>internacional al desarrollo y conocimiento de los mecanismos de justificación.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33E08067" w14:textId="77777777" w:rsidR="00E93143" w:rsidRPr="007516AB" w:rsidRDefault="00E93143" w:rsidP="00EF190D">
      <w:pPr>
        <w:jc w:val="both"/>
        <w:rPr>
          <w:b/>
          <w:bCs/>
          <w:color w:val="00B050"/>
          <w:lang w:val="es-EC"/>
        </w:rPr>
      </w:pPr>
    </w:p>
    <w:p w14:paraId="21B76C4D" w14:textId="22C9D6DA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Organizar los clubes de agricultores en las respectivas áreas donde se desarrolla el proyecto</w:t>
      </w:r>
    </w:p>
    <w:p w14:paraId="14C28271" w14:textId="34442524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Capacitar a los agricultores en tecnologías agrícolas novedosas. </w:t>
      </w:r>
    </w:p>
    <w:p w14:paraId="0512F2EF" w14:textId="3551958B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demostraciones prácticas con los agricultores. </w:t>
      </w:r>
    </w:p>
    <w:p w14:paraId="42FE720C" w14:textId="15E2C9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visitas de campo y supervisa el progreso de cada una de las líneas de producción entregadas</w:t>
      </w:r>
    </w:p>
    <w:p w14:paraId="366A0B2E" w14:textId="385B91DF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Movilizar a los clubes de agricultores en la realización de grandes reuniones y eventos como días de campo, ferias agrícolas, etc. </w:t>
      </w:r>
    </w:p>
    <w:p w14:paraId="1D3BAEDE" w14:textId="7ACD523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Reunirse con los miembros del comité de los clubes de agricultores una vez al mes. </w:t>
      </w:r>
    </w:p>
    <w:p w14:paraId="1B3E02D2" w14:textId="77777777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Reunirse con el equipo de trabajo vez a la semana para informar y hacer nuevos planes para la próxima semana.</w:t>
      </w:r>
    </w:p>
    <w:p w14:paraId="6537AF9C" w14:textId="34FEF9C6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Participar en la resolución de conflictos entre los miembros, si es el caso. </w:t>
      </w:r>
    </w:p>
    <w:p w14:paraId="2458E57D" w14:textId="34C0DF59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Organizar un sistema común de compra y venta en cada club. </w:t>
      </w:r>
    </w:p>
    <w:p w14:paraId="0168C2E2" w14:textId="664518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Participar en reuniones de revisión de la comunidad y aprovecha la oportunidad para analizar el progreso, el fortalecimiento y las debilidades. </w:t>
      </w:r>
    </w:p>
    <w:p w14:paraId="2B08FCBE" w14:textId="03CC7E92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Llevar a cabo campañas en las que participan algunos de los actores clave. Las campañas pueden incluir prevención de enfermedades que afecten la salud, agua saludable y libre de contaminación, siembra de árboles y otras cuestiones relacionadas con la conciencia ambiental, etc.</w:t>
      </w:r>
    </w:p>
    <w:p w14:paraId="12D4D80C" w14:textId="57205F3C" w:rsidR="007B4CE0" w:rsidRPr="007B4CE0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Movilizar a los agricultores para que realicen intercambios de productos, métodos de cultivo y mejoren su gestión de los campos. </w:t>
      </w:r>
    </w:p>
    <w:p w14:paraId="0A710D3B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Necesita creer que los agricultores pueden liberarse de la pobreza a través de la participación en el Proyecto Clubes de Agricultores.</w:t>
      </w:r>
    </w:p>
    <w:p w14:paraId="2E15497E" w14:textId="4C47004B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Entregar informes mensuales, trimestrales, semestrales y anuales</w:t>
      </w:r>
    </w:p>
    <w:p w14:paraId="01B139B0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Realiza planificación semanal y trimestral </w:t>
      </w:r>
    </w:p>
    <w:p w14:paraId="06FEB4AC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Realizar el escaneo de documentos y subir al drive la información mensualmente </w:t>
      </w:r>
    </w:p>
    <w:p w14:paraId="7465EE42" w14:textId="77777777" w:rsidR="007B4CE0" w:rsidRPr="007B4CE0" w:rsidRDefault="007B4CE0" w:rsidP="007B4CE0">
      <w:pPr>
        <w:numPr>
          <w:ilvl w:val="0"/>
          <w:numId w:val="3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7B4CE0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Subir al drive fotos mensuales y noticias relevantes 2 noticias por mes </w:t>
      </w: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77777777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>anejo de herramientas de Microsoft nivel intermedio</w:t>
      </w:r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00701415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</w:p>
    <w:p w14:paraId="375EEDB6" w14:textId="66BF2BDD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</w:p>
    <w:p w14:paraId="52CB86DE" w14:textId="67084467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Idiomas: Español, conocimiento básico d</w:t>
      </w:r>
      <w:r>
        <w:rPr>
          <w:lang w:val="es-EC"/>
        </w:rPr>
        <w:t>e inglés sería una ventaja pero no necesaria</w:t>
      </w:r>
    </w:p>
    <w:p w14:paraId="6501E669" w14:textId="21E80346" w:rsidR="00141680" w:rsidRDefault="00141680" w:rsidP="0018636D">
      <w:pPr>
        <w:jc w:val="both"/>
        <w:rPr>
          <w:lang w:val="es-EC"/>
        </w:rPr>
      </w:pPr>
    </w:p>
    <w:p w14:paraId="67E03E0D" w14:textId="57219E38" w:rsidR="00141680" w:rsidRPr="00972305" w:rsidRDefault="00C41167" w:rsidP="0018636D">
      <w:pPr>
        <w:jc w:val="both"/>
        <w:rPr>
          <w:b/>
          <w:bCs/>
          <w:color w:val="00B050"/>
          <w:lang w:val="es-EC"/>
        </w:rPr>
      </w:pPr>
      <w:r w:rsidRPr="00972305">
        <w:rPr>
          <w:b/>
          <w:bCs/>
          <w:color w:val="00B050"/>
          <w:lang w:val="es-EC"/>
        </w:rPr>
        <w:t>INFORMACIÓN ADICIONAL</w:t>
      </w:r>
    </w:p>
    <w:p w14:paraId="049AC235" w14:textId="5E72DBE3" w:rsidR="00141680" w:rsidRPr="00C41167" w:rsidRDefault="009C5F00" w:rsidP="0018636D">
      <w:pPr>
        <w:jc w:val="both"/>
        <w:rPr>
          <w:lang w:val="es-EC"/>
        </w:rPr>
      </w:pPr>
      <w:r>
        <w:rPr>
          <w:lang w:val="es-EC"/>
        </w:rPr>
        <w:t>H</w:t>
      </w:r>
      <w:r w:rsidR="00C41167">
        <w:rPr>
          <w:lang w:val="es-EC"/>
        </w:rPr>
        <w:t>asta cierre de proyecto (</w:t>
      </w:r>
      <w:r>
        <w:rPr>
          <w:lang w:val="es-EC"/>
        </w:rPr>
        <w:t>Diciembre</w:t>
      </w:r>
      <w:r w:rsidR="00C41167">
        <w:rPr>
          <w:lang w:val="es-EC"/>
        </w:rPr>
        <w:t>/2023)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lastRenderedPageBreak/>
        <w:t>Posición de tiempo completo</w:t>
      </w:r>
    </w:p>
    <w:p w14:paraId="51B5FD7A" w14:textId="7051AB1D" w:rsid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Inicio inmediato</w:t>
      </w:r>
    </w:p>
    <w:p w14:paraId="081E6888" w14:textId="268D88FD" w:rsidR="004E34F6" w:rsidRDefault="004E34F6" w:rsidP="0018636D">
      <w:pPr>
        <w:jc w:val="both"/>
        <w:rPr>
          <w:b/>
          <w:bCs/>
          <w:color w:val="00B050"/>
          <w:lang w:val="es-EC"/>
        </w:rPr>
      </w:pPr>
      <w:r w:rsidRPr="004E34F6">
        <w:rPr>
          <w:b/>
          <w:bCs/>
          <w:color w:val="00B050"/>
          <w:lang w:val="es-EC"/>
        </w:rPr>
        <w:t xml:space="preserve">SALARIO </w:t>
      </w:r>
    </w:p>
    <w:p w14:paraId="7F6E44AE" w14:textId="77777777" w:rsidR="004E34F6" w:rsidRDefault="004E34F6" w:rsidP="0018636D">
      <w:pPr>
        <w:jc w:val="both"/>
        <w:rPr>
          <w:color w:val="000000" w:themeColor="text1"/>
          <w:lang w:val="es-EC"/>
        </w:rPr>
      </w:pPr>
    </w:p>
    <w:p w14:paraId="1ECD2B14" w14:textId="4FA9E10F" w:rsidR="004E34F6" w:rsidRPr="004E34F6" w:rsidRDefault="004E34F6" w:rsidP="0018636D">
      <w:pPr>
        <w:jc w:val="both"/>
        <w:rPr>
          <w:color w:val="00B050"/>
          <w:lang w:val="es-EC"/>
        </w:rPr>
      </w:pPr>
      <w:r>
        <w:rPr>
          <w:color w:val="000000" w:themeColor="text1"/>
          <w:lang w:val="es-EC"/>
        </w:rPr>
        <w:t>$</w:t>
      </w:r>
      <w:r w:rsidRPr="004E34F6">
        <w:rPr>
          <w:color w:val="000000" w:themeColor="text1"/>
          <w:lang w:val="es-EC"/>
        </w:rPr>
        <w:t>500</w:t>
      </w:r>
      <w:r>
        <w:rPr>
          <w:color w:val="000000" w:themeColor="text1"/>
          <w:lang w:val="es-EC"/>
        </w:rPr>
        <w:t xml:space="preserve"> USD </w:t>
      </w:r>
      <w:r w:rsidRPr="004E34F6">
        <w:rPr>
          <w:color w:val="000000" w:themeColor="text1"/>
          <w:lang w:val="es-EC"/>
        </w:rPr>
        <w:t>m</w:t>
      </w:r>
      <w:r>
        <w:rPr>
          <w:color w:val="000000" w:themeColor="text1"/>
          <w:lang w:val="es-EC"/>
        </w:rPr>
        <w:t>á</w:t>
      </w:r>
      <w:r w:rsidRPr="004E34F6">
        <w:rPr>
          <w:color w:val="000000" w:themeColor="text1"/>
          <w:lang w:val="es-EC"/>
        </w:rPr>
        <w:t>s beneficios de ley</w:t>
      </w:r>
    </w:p>
    <w:p w14:paraId="49542177" w14:textId="77777777" w:rsidR="004E34F6" w:rsidRPr="00C41167" w:rsidRDefault="004E34F6" w:rsidP="0018636D">
      <w:pPr>
        <w:jc w:val="both"/>
        <w:rPr>
          <w:lang w:val="es-EC"/>
        </w:rPr>
      </w:pPr>
    </w:p>
    <w:p w14:paraId="0CD7A933" w14:textId="657EEF7A" w:rsidR="00141680" w:rsidRPr="00972305" w:rsidRDefault="00C41167" w:rsidP="0018636D">
      <w:pPr>
        <w:jc w:val="both"/>
        <w:rPr>
          <w:b/>
          <w:bCs/>
          <w:color w:val="00B050"/>
          <w:lang w:val="es-MX"/>
        </w:rPr>
      </w:pPr>
      <w:r w:rsidRPr="00972305">
        <w:rPr>
          <w:b/>
          <w:bCs/>
          <w:color w:val="00B050"/>
          <w:lang w:val="es-MX"/>
        </w:rPr>
        <w:t>PARA APLICAR</w:t>
      </w:r>
    </w:p>
    <w:p w14:paraId="2B4C8505" w14:textId="7F7C6548" w:rsidR="00EA66E9" w:rsidRPr="002135C5" w:rsidRDefault="00C41167" w:rsidP="0018636D">
      <w:pPr>
        <w:jc w:val="both"/>
        <w:rPr>
          <w:lang w:val="es-EC"/>
        </w:rPr>
      </w:pPr>
      <w:r w:rsidRPr="002135C5">
        <w:rPr>
          <w:lang w:val="es-EC"/>
        </w:rPr>
        <w:t>Candidatos interesados enviar una carta de interés y hoja de vida a</w:t>
      </w:r>
      <w:r w:rsidR="0018636D">
        <w:rPr>
          <w:lang w:val="es-EC"/>
        </w:rPr>
        <w:t xml:space="preserve"> los</w:t>
      </w:r>
      <w:r w:rsidRPr="002135C5">
        <w:rPr>
          <w:lang w:val="es-EC"/>
        </w:rPr>
        <w:t xml:space="preserve"> correo</w:t>
      </w:r>
      <w:r w:rsidR="0018636D">
        <w:rPr>
          <w:lang w:val="es-EC"/>
        </w:rPr>
        <w:t>s</w:t>
      </w:r>
      <w:r w:rsidRPr="002135C5">
        <w:rPr>
          <w:lang w:val="es-EC"/>
        </w:rPr>
        <w:t xml:space="preserve">  </w:t>
      </w:r>
      <w:hyperlink r:id="rId7" w:history="1">
        <w:r w:rsidR="0018636D" w:rsidRPr="005D0548">
          <w:rPr>
            <w:rStyle w:val="Hipervnculo"/>
          </w:rPr>
          <w:t>x.jumbo@humana-ecuador.org</w:t>
        </w:r>
      </w:hyperlink>
      <w:r w:rsidR="0018636D">
        <w:t xml:space="preserve"> y </w:t>
      </w:r>
      <w:hyperlink r:id="rId8" w:history="1">
        <w:r w:rsidR="0018636D" w:rsidRPr="005D0548">
          <w:rPr>
            <w:rStyle w:val="Hipervnculo"/>
          </w:rPr>
          <w:t>j.cagua@humana-ecuador.org</w:t>
        </w:r>
      </w:hyperlink>
      <w:r w:rsidR="0018636D">
        <w:t xml:space="preserve"> </w:t>
      </w:r>
      <w:r w:rsidR="002135C5">
        <w:rPr>
          <w:lang w:val="es-EC"/>
        </w:rPr>
        <w:t xml:space="preserve">con al menos </w:t>
      </w:r>
      <w:r w:rsidR="00DB269E">
        <w:rPr>
          <w:lang w:val="es-EC"/>
        </w:rPr>
        <w:t>2</w:t>
      </w:r>
      <w:r w:rsidR="002135C5">
        <w:rPr>
          <w:lang w:val="es-EC"/>
        </w:rPr>
        <w:t xml:space="preserve"> referencias profesionales</w:t>
      </w:r>
      <w:r w:rsidR="008550FF">
        <w:rPr>
          <w:lang w:val="es-EC"/>
        </w:rPr>
        <w:t xml:space="preserve"> hasta el 20 de enero 2023</w:t>
      </w:r>
      <w:r w:rsidR="00141680" w:rsidRPr="002135C5">
        <w:rPr>
          <w:lang w:val="es-EC"/>
        </w:rPr>
        <w:t>. P</w:t>
      </w:r>
      <w:r w:rsidR="002135C5" w:rsidRPr="002135C5">
        <w:rPr>
          <w:lang w:val="es-EC"/>
        </w:rPr>
        <w:t>or</w:t>
      </w:r>
      <w:r w:rsidR="0018636D">
        <w:rPr>
          <w:lang w:val="es-EC"/>
        </w:rPr>
        <w:t xml:space="preserve"> </w:t>
      </w:r>
      <w:r w:rsidR="002135C5" w:rsidRPr="002135C5">
        <w:rPr>
          <w:lang w:val="es-EC"/>
        </w:rPr>
        <w:t>favor escribir su</w:t>
      </w:r>
      <w:r w:rsidR="0018636D">
        <w:rPr>
          <w:lang w:val="es-EC"/>
        </w:rPr>
        <w:t xml:space="preserve"> nombre y</w:t>
      </w:r>
      <w:r w:rsidR="002135C5" w:rsidRPr="002135C5">
        <w:rPr>
          <w:lang w:val="es-EC"/>
        </w:rPr>
        <w:t xml:space="preserve"> apellido</w:t>
      </w:r>
      <w:r w:rsidR="0018636D">
        <w:rPr>
          <w:lang w:val="es-EC"/>
        </w:rPr>
        <w:t xml:space="preserve">; y </w:t>
      </w:r>
      <w:r w:rsidR="002135C5" w:rsidRPr="002135C5">
        <w:rPr>
          <w:lang w:val="es-EC"/>
        </w:rPr>
        <w:t>p</w:t>
      </w:r>
      <w:r w:rsidR="002135C5">
        <w:rPr>
          <w:lang w:val="es-EC"/>
        </w:rPr>
        <w:t xml:space="preserve">uesto de trabajo al que aplica en el </w:t>
      </w:r>
      <w:r w:rsidR="0018636D">
        <w:rPr>
          <w:lang w:val="es-EC"/>
        </w:rPr>
        <w:t>asunto</w:t>
      </w:r>
      <w:r w:rsidR="00141680" w:rsidRPr="002135C5">
        <w:rPr>
          <w:lang w:val="es-EC"/>
        </w:rPr>
        <w:t xml:space="preserve">. </w:t>
      </w:r>
      <w:r w:rsidR="002135C5" w:rsidRPr="002135C5">
        <w:rPr>
          <w:lang w:val="es-EC"/>
        </w:rPr>
        <w:t>Se contactar</w:t>
      </w:r>
      <w:r w:rsidR="00DB269E">
        <w:rPr>
          <w:lang w:val="es-EC"/>
        </w:rPr>
        <w:t>á</w:t>
      </w:r>
      <w:r w:rsidR="002135C5" w:rsidRPr="002135C5">
        <w:rPr>
          <w:lang w:val="es-EC"/>
        </w:rPr>
        <w:t>n solamente a los o las candidatas seleccionadas pa</w:t>
      </w:r>
      <w:r w:rsidR="002135C5">
        <w:rPr>
          <w:lang w:val="es-EC"/>
        </w:rPr>
        <w:t>ra una entrevista</w:t>
      </w:r>
      <w:r w:rsidR="00141680">
        <w:t>.</w:t>
      </w:r>
    </w:p>
    <w:sectPr w:rsidR="00EA66E9" w:rsidRPr="002135C5" w:rsidSect="00EF190D">
      <w:headerReference w:type="default" r:id="rId9"/>
      <w:footerReference w:type="default" r:id="rId10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92B4" w14:textId="77777777" w:rsidR="00093FDC" w:rsidRDefault="00093FDC" w:rsidP="003F6A60">
      <w:r>
        <w:separator/>
      </w:r>
    </w:p>
  </w:endnote>
  <w:endnote w:type="continuationSeparator" w:id="0">
    <w:p w14:paraId="48EF146F" w14:textId="77777777" w:rsidR="00093FDC" w:rsidRDefault="00093FDC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8581" w14:textId="77777777" w:rsidR="00093FDC" w:rsidRDefault="00093FDC" w:rsidP="003F6A60">
      <w:r>
        <w:separator/>
      </w:r>
    </w:p>
  </w:footnote>
  <w:footnote w:type="continuationSeparator" w:id="0">
    <w:p w14:paraId="294BF005" w14:textId="77777777" w:rsidR="00093FDC" w:rsidRDefault="00093FDC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272528D9" w:rsidR="00EF190D" w:rsidRPr="006016B0" w:rsidRDefault="00EF190D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inline distT="0" distB="0" distL="0" distR="0" wp14:anchorId="15564817" wp14:editId="26028A69">
          <wp:extent cx="2395220" cy="75312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42" cy="76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2C49A0"/>
    <w:multiLevelType w:val="multilevel"/>
    <w:tmpl w:val="73C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93FDC"/>
    <w:rsid w:val="000C2BA3"/>
    <w:rsid w:val="00116C4A"/>
    <w:rsid w:val="00141680"/>
    <w:rsid w:val="001420B0"/>
    <w:rsid w:val="00144997"/>
    <w:rsid w:val="001657A4"/>
    <w:rsid w:val="0018636D"/>
    <w:rsid w:val="001868CD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A1D09"/>
    <w:rsid w:val="003D69D5"/>
    <w:rsid w:val="003F6A60"/>
    <w:rsid w:val="004378E4"/>
    <w:rsid w:val="00497CB5"/>
    <w:rsid w:val="004A2065"/>
    <w:rsid w:val="004C046D"/>
    <w:rsid w:val="004E1A23"/>
    <w:rsid w:val="004E34F6"/>
    <w:rsid w:val="00503235"/>
    <w:rsid w:val="00503A92"/>
    <w:rsid w:val="00505F57"/>
    <w:rsid w:val="00545622"/>
    <w:rsid w:val="00563656"/>
    <w:rsid w:val="005C4387"/>
    <w:rsid w:val="006016B0"/>
    <w:rsid w:val="00612D0B"/>
    <w:rsid w:val="00626DF0"/>
    <w:rsid w:val="00644E50"/>
    <w:rsid w:val="00673ED2"/>
    <w:rsid w:val="00685114"/>
    <w:rsid w:val="006B3D68"/>
    <w:rsid w:val="006F46A4"/>
    <w:rsid w:val="007018AD"/>
    <w:rsid w:val="007252ED"/>
    <w:rsid w:val="007516AB"/>
    <w:rsid w:val="007B4CE0"/>
    <w:rsid w:val="007C32CA"/>
    <w:rsid w:val="007E354D"/>
    <w:rsid w:val="008132F9"/>
    <w:rsid w:val="00833651"/>
    <w:rsid w:val="008550FF"/>
    <w:rsid w:val="00855776"/>
    <w:rsid w:val="00862B68"/>
    <w:rsid w:val="00863C7F"/>
    <w:rsid w:val="00867F74"/>
    <w:rsid w:val="008B5C28"/>
    <w:rsid w:val="008E1926"/>
    <w:rsid w:val="00920837"/>
    <w:rsid w:val="00937F79"/>
    <w:rsid w:val="00946A38"/>
    <w:rsid w:val="0096655B"/>
    <w:rsid w:val="00972305"/>
    <w:rsid w:val="00985E19"/>
    <w:rsid w:val="00990315"/>
    <w:rsid w:val="009C5F00"/>
    <w:rsid w:val="009D2766"/>
    <w:rsid w:val="00A70832"/>
    <w:rsid w:val="00AC31B9"/>
    <w:rsid w:val="00AF3E6D"/>
    <w:rsid w:val="00B13054"/>
    <w:rsid w:val="00B16DBF"/>
    <w:rsid w:val="00B71BFE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E7904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E04823"/>
    <w:rsid w:val="00E43C0B"/>
    <w:rsid w:val="00E90F97"/>
    <w:rsid w:val="00E93143"/>
    <w:rsid w:val="00E940D1"/>
    <w:rsid w:val="00EA66E9"/>
    <w:rsid w:val="00EB49D1"/>
    <w:rsid w:val="00ED165A"/>
    <w:rsid w:val="00EE3248"/>
    <w:rsid w:val="00EF190D"/>
    <w:rsid w:val="00F33DE6"/>
    <w:rsid w:val="00F661D3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gua@humana-ecua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.jumbo@humana-ecuad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5445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HP</cp:lastModifiedBy>
  <cp:revision>7</cp:revision>
  <cp:lastPrinted>2020-11-11T15:04:00Z</cp:lastPrinted>
  <dcterms:created xsi:type="dcterms:W3CDTF">2023-01-12T17:03:00Z</dcterms:created>
  <dcterms:modified xsi:type="dcterms:W3CDTF">2023-01-12T21:11:00Z</dcterms:modified>
</cp:coreProperties>
</file>